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9C09A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32"/>
          <w:szCs w:val="32"/>
        </w:rPr>
      </w:pPr>
      <w:bookmarkStart w:id="14" w:name="_GoBack"/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36"/>
          <w:szCs w:val="36"/>
        </w:rPr>
        <w:t>浙江工商大学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36"/>
          <w:szCs w:val="36"/>
          <w:lang w:val="zh-CN" w:eastAsia="zh-CN" w:bidi="zh-CN"/>
        </w:rPr>
        <w:t>“桦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36"/>
          <w:szCs w:val="36"/>
        </w:rPr>
        <w:t>桐助学金”评审管理办法</w:t>
      </w:r>
    </w:p>
    <w:bookmarkEnd w:id="14"/>
    <w:p w14:paraId="07377B86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杭州桦桐家私集团有限公司为支持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浙江工商大学和浙江工商大学杭州商学院学生资助对象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努力学习、奋发向上，帮助他们更好地成长，特出资资助部分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学生资助对象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。根据杭州桦桐家私集团有限公司与浙江工商大学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捐赠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协议，特制定本办法。</w:t>
      </w:r>
    </w:p>
    <w:p w14:paraId="643E5C26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9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bookmark0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</w:rPr>
        <w:t>一</w:t>
      </w:r>
      <w:bookmarkEnd w:id="0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</w:rPr>
        <w:t>资助对象及资助标准</w:t>
      </w:r>
    </w:p>
    <w:p w14:paraId="4521809E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7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</w:pPr>
      <w:bookmarkStart w:id="1" w:name="bookmark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1</w:t>
      </w:r>
      <w:bookmarkEnd w:id="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资助对象为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浙江工商大学和浙江工商大学杭州商学院家庭经济困难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、勤奋好学、品行端正的全日制普通本科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一年级在校学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生。</w:t>
      </w:r>
      <w:bookmarkStart w:id="2" w:name="bookmark2"/>
    </w:p>
    <w:p w14:paraId="0DC80A5D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7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2</w:t>
      </w:r>
      <w:bookmarkEnd w:id="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资助标准为5000元/人。</w:t>
      </w:r>
    </w:p>
    <w:p w14:paraId="50818D63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7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3" w:name="bookmark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3</w:t>
      </w:r>
      <w:bookmarkEnd w:id="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.资助名额为每年100人，其中浙江工商大学50人，浙江工商大学杭州商学院50人。</w:t>
      </w:r>
    </w:p>
    <w:p w14:paraId="2C22AE6A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7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二、评审时间</w:t>
      </w:r>
    </w:p>
    <w:p w14:paraId="1750BFC2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7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每学年秋季学期</w:t>
      </w:r>
    </w:p>
    <w:p w14:paraId="2E903091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9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</w:rPr>
        <w:t>、申报评选条件</w:t>
      </w:r>
    </w:p>
    <w:p w14:paraId="2B60182C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申请资助的学生应当符合下列基本条件：</w:t>
      </w:r>
    </w:p>
    <w:p w14:paraId="7308C6E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4" w:name="bookmark5"/>
      <w:bookmarkEnd w:id="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全日制普通本科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一年级在校学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生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中被学校认定的学生资助对象，重点学生资助对象优先，特别是：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家庭主要成员年老体弱、劳动力低下，家庭经济负担重、经济来源少；父母双方或一方无固定经济来源，属于城市低保家庭，家庭经济非常困难；家庭成员长期患病、无劳动能力，家庭遭遇自然灾害或突发事件等特殊情况，无正常学习、生活来源；</w:t>
      </w:r>
    </w:p>
    <w:p w14:paraId="6F3035A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5" w:name="bookmark6"/>
      <w:bookmarkEnd w:id="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学习态度端正，遵守校纪校规，无任何违纪处分记录；</w:t>
      </w:r>
    </w:p>
    <w:p w14:paraId="1BC6CCA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6" w:name="bookmark8"/>
      <w:bookmarkEnd w:id="6"/>
      <w:bookmarkStart w:id="7" w:name="bookmark7"/>
      <w:bookmarkEnd w:id="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孤残学生、烈士子女优先考虑；</w:t>
      </w:r>
    </w:p>
    <w:p w14:paraId="4CB550A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</w:pPr>
      <w:bookmarkStart w:id="8" w:name="bookmark9"/>
      <w:bookmarkEnd w:id="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申请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国家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助学贷款学生优先考虑。</w:t>
      </w:r>
      <w:bookmarkStart w:id="9" w:name="bookmark10"/>
    </w:p>
    <w:bookmarkEnd w:id="9"/>
    <w:p w14:paraId="2E7AC94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</w:rPr>
        <w:t>、申报程序和评审管理办法</w:t>
      </w:r>
    </w:p>
    <w:p w14:paraId="5FA76B5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桦桐助学金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评审坚持“公平、公正、公开”的原则，按照“学生申请、学院初审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、学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校审定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”的程序进行。具体申报程序和和评审管理办法如下：</w:t>
      </w:r>
    </w:p>
    <w:p w14:paraId="28EE6893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0" w:name="bookmark1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1</w:t>
      </w:r>
      <w:bookmarkEnd w:id="1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在规定期限内，学生本人提出书面申请；</w:t>
      </w:r>
    </w:p>
    <w:p w14:paraId="25F7C4B6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11" w:name="bookmark1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2</w:t>
      </w:r>
      <w:bookmarkEnd w:id="1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.学院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评议小组根据学生提交的申请材料，结合学生日常消费行为，以及影响其家庭经济状况的情况，进行资格审查，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对审查通过的学生进行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评议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确定评议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结果，并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进行公示。</w:t>
      </w:r>
    </w:p>
    <w:p w14:paraId="530E9F8F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3.学院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将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公示后的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结果提交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“桦桐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助学金”评审委员会进行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审定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；</w:t>
      </w:r>
    </w:p>
    <w:p w14:paraId="5DB4082D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4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4.学校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“桦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桐助学金”评审委员会进行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审定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；</w:t>
      </w:r>
    </w:p>
    <w:p w14:paraId="512BF716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4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2" w:name="bookmark1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5</w:t>
      </w:r>
      <w:bookmarkEnd w:id="1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学校范围内公示名单，公示期不少于5天。</w:t>
      </w:r>
    </w:p>
    <w:p w14:paraId="5E792830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9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</w:rPr>
        <w:t>、本评选办法由学生工作部负责解释。</w:t>
      </w:r>
      <w:bookmarkStart w:id="13" w:name="bookmark17"/>
    </w:p>
    <w:bookmarkEnd w:id="13"/>
    <w:p w14:paraId="6719FF72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9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</w:rPr>
        <w:t>、本办法自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发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</w:rPr>
        <w:t>布之日起实施。</w:t>
      </w:r>
    </w:p>
    <w:p w14:paraId="56D9A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5" w:type="default"/>
      <w:headerReference r:id="rId6" w:type="even"/>
      <w:footnotePr>
        <w:numFmt w:val="decimal"/>
      </w:footnotePr>
      <w:pgSz w:w="11900" w:h="16840"/>
      <w:pgMar w:top="1946" w:right="1482" w:bottom="1771" w:left="1851" w:header="0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DF4814E-B146-428B-B9D5-5E1CF61264B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06D9CF9-2F42-495B-9D14-59B1343C71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1250DA0-2C27-4D20-83C4-46B0878DD8AD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D4828"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CD0FE"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153024D"/>
    <w:rsid w:val="214D55B2"/>
    <w:rsid w:val="2E9D056F"/>
    <w:rsid w:val="3CA63AC4"/>
    <w:rsid w:val="4F7E6935"/>
    <w:rsid w:val="50372E0C"/>
    <w:rsid w:val="57102C3E"/>
    <w:rsid w:val="5FA03F65"/>
    <w:rsid w:val="5FA4756D"/>
    <w:rsid w:val="60D33CB1"/>
    <w:rsid w:val="71CE0532"/>
    <w:rsid w:val="7B6A25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Body text|1_"/>
    <w:basedOn w:val="4"/>
    <w:link w:val="6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link w:val="5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7">
    <w:name w:val="Header or footer|2_"/>
    <w:basedOn w:val="4"/>
    <w:link w:val="8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link w:val="7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766</Words>
  <Characters>785</Characters>
  <TotalTime>7</TotalTime>
  <ScaleCrop>false</ScaleCrop>
  <LinksUpToDate>false</LinksUpToDate>
  <CharactersWithSpaces>785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2021-10-17T14:04:00Z</dcterms:created>
  <dc:creator>Administrator</dc:creator>
  <cp:lastModifiedBy>你若盛开</cp:lastModifiedBy>
  <dcterms:modified xsi:type="dcterms:W3CDTF">2025-10-30T07:13:11Z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284661509_btnclosed</vt:lpwstr>
  </property>
  <property fmtid="{D5CDD505-2E9C-101B-9397-08002B2CF9AE}" pid="3" name="KSOProductBuildVer">
    <vt:lpwstr>2052-12.1.0.23125</vt:lpwstr>
  </property>
  <property fmtid="{D5CDD505-2E9C-101B-9397-08002B2CF9AE}" pid="4" name="ICV">
    <vt:lpwstr>E70F53984D0D471AB0A0DAE045851292_13</vt:lpwstr>
  </property>
</Properties>
</file>