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99CCFF"/>
  <w:body>
    <w:p w14:paraId="55B56288">
      <w:pPr>
        <w:widowControl/>
        <w:spacing w:after="240" w:line="440" w:lineRule="exact"/>
        <w:jc w:val="center"/>
        <w:rPr>
          <w:rFonts w:eastAsia="黑体"/>
          <w:sz w:val="32"/>
          <w:szCs w:val="20"/>
        </w:rPr>
      </w:pPr>
      <w:r>
        <w:rPr>
          <w:rFonts w:hint="eastAsia" w:eastAsia="黑体"/>
          <w:b/>
          <w:bCs/>
          <w:sz w:val="32"/>
          <w:szCs w:val="20"/>
        </w:rPr>
        <w:t>浙江工商大学“中石化销售企业创新奖学金”评审管理办法</w:t>
      </w:r>
    </w:p>
    <w:p w14:paraId="21407D84">
      <w:pPr>
        <w:pStyle w:val="3"/>
        <w:adjustRightInd w:val="0"/>
        <w:snapToGrid w:val="0"/>
        <w:spacing w:line="360" w:lineRule="auto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为了鼓励我校学生努力进取，刻苦学习，提高学生综合素质，增强学生的创新能力，使优秀学生脱颖而出。根据《中石化销售企业、浙江工商大学关于设立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中石化销售企业创新奖学金基金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的协议》和《浙江工商大学</w:t>
      </w:r>
      <w:bookmarkStart w:id="0" w:name="_GoBack"/>
      <w:bookmarkEnd w:id="0"/>
      <w:r>
        <w:rPr>
          <w:rFonts w:hint="eastAsia"/>
          <w:sz w:val="28"/>
          <w:szCs w:val="28"/>
        </w:rPr>
        <w:t>专项奖学金评审管理办法》，特制定本办法。</w:t>
      </w:r>
      <w:r>
        <w:rPr>
          <w:sz w:val="28"/>
          <w:szCs w:val="28"/>
        </w:rPr>
        <w:t xml:space="preserve"> </w:t>
      </w:r>
    </w:p>
    <w:p w14:paraId="306158CD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一、“中石化销售企业创新奖学金”的评选范围、奖额和设立期限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26D7E18E">
      <w:pPr>
        <w:adjustRightInd w:val="0"/>
        <w:snapToGrid w:val="0"/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中石化销售企业创新奖学金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面向本校</w:t>
      </w:r>
      <w:r>
        <w:rPr>
          <w:rFonts w:hint="eastAsia"/>
          <w:b/>
          <w:bCs/>
          <w:color w:val="FF0000"/>
          <w:sz w:val="28"/>
          <w:szCs w:val="28"/>
        </w:rPr>
        <w:t>工商管理学院、会计学院、统计与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数学</w:t>
      </w:r>
      <w:r>
        <w:rPr>
          <w:rFonts w:hint="eastAsia"/>
          <w:b/>
          <w:bCs/>
          <w:color w:val="FF0000"/>
          <w:sz w:val="28"/>
          <w:szCs w:val="28"/>
        </w:rPr>
        <w:t>学院、经济学院、计算机科学与技术学院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管理工程与电子商务学院（跨境电商学院）</w:t>
      </w:r>
      <w:r>
        <w:rPr>
          <w:rFonts w:hint="eastAsia"/>
          <w:sz w:val="28"/>
          <w:szCs w:val="28"/>
        </w:rPr>
        <w:t>的本科在校生设立；</w:t>
      </w:r>
      <w:r>
        <w:rPr>
          <w:sz w:val="28"/>
          <w:szCs w:val="28"/>
        </w:rPr>
        <w:t xml:space="preserve"> </w:t>
      </w:r>
    </w:p>
    <w:p w14:paraId="43973550">
      <w:pPr>
        <w:adjustRightInd w:val="0"/>
        <w:snapToGrid w:val="0"/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中石化销售企业创新奖学金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每年评选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名，每名获奖学金人民币</w:t>
      </w:r>
      <w:r>
        <w:rPr>
          <w:sz w:val="28"/>
          <w:szCs w:val="28"/>
        </w:rPr>
        <w:t>2000</w:t>
      </w:r>
      <w:r>
        <w:rPr>
          <w:rFonts w:hint="eastAsia"/>
          <w:sz w:val="28"/>
          <w:szCs w:val="28"/>
        </w:rPr>
        <w:t>元；</w:t>
      </w:r>
      <w:r>
        <w:rPr>
          <w:sz w:val="28"/>
          <w:szCs w:val="28"/>
        </w:rPr>
        <w:t xml:space="preserve"> </w:t>
      </w:r>
    </w:p>
    <w:p w14:paraId="0522781B">
      <w:pPr>
        <w:adjustRightInd w:val="0"/>
        <w:snapToGrid w:val="0"/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中石化销售企业创新奖学金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永久设立。</w:t>
      </w:r>
      <w:r>
        <w:rPr>
          <w:sz w:val="28"/>
          <w:szCs w:val="28"/>
        </w:rPr>
        <w:t xml:space="preserve"> </w:t>
      </w:r>
    </w:p>
    <w:p w14:paraId="6C06998B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二、评选条件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3274EEC9">
      <w:pPr>
        <w:adjustRightInd w:val="0"/>
        <w:snapToGrid w:val="0"/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．热爱祖国，遵守国家的法律、法规及学校规章制度，勤奋好学，尊敬师长，关心集体，团结同学。</w:t>
      </w:r>
      <w:r>
        <w:rPr>
          <w:sz w:val="28"/>
          <w:szCs w:val="28"/>
        </w:rPr>
        <w:t xml:space="preserve"> </w:t>
      </w:r>
    </w:p>
    <w:p w14:paraId="29258F11">
      <w:pPr>
        <w:adjustRightInd w:val="0"/>
        <w:snapToGrid w:val="0"/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．具备以下条件之一者：①在国内核心刊物上发表论文（第二作者以上）；②被邀参加国际性学术交流会；③积极参加科研活动，成果获校级（含）以上奖励或获得国家专利；④在省级以上大学生辩论赛中获前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名；⑤关心和支持学校的改革和发展，积极为学校教学、管理提出建设性意见和建议，并经学校认定对办学有突出贡献。</w:t>
      </w:r>
      <w:r>
        <w:rPr>
          <w:sz w:val="28"/>
          <w:szCs w:val="28"/>
        </w:rPr>
        <w:t xml:space="preserve"> </w:t>
      </w:r>
    </w:p>
    <w:p w14:paraId="526B134E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三、评审办法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791579D8">
      <w:pPr>
        <w:adjustRightInd w:val="0"/>
        <w:snapToGrid w:val="0"/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．学生自愿申报（需附有关证明复印件），所在学院推荐，在学校下达的名额内由评审委员会审定。</w:t>
      </w:r>
      <w:r>
        <w:rPr>
          <w:sz w:val="28"/>
          <w:szCs w:val="28"/>
        </w:rPr>
        <w:t xml:space="preserve"> </w:t>
      </w:r>
    </w:p>
    <w:p w14:paraId="1487876D">
      <w:pPr>
        <w:adjustRightInd w:val="0"/>
        <w:snapToGrid w:val="0"/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．评审工作每年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月份进行。</w:t>
      </w:r>
      <w:r>
        <w:rPr>
          <w:sz w:val="28"/>
          <w:szCs w:val="28"/>
        </w:rPr>
        <w:t xml:space="preserve"> </w:t>
      </w:r>
    </w:p>
    <w:p w14:paraId="7763BD46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四、“中石化销售企业创新奖学金”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评审委员会由中石化销售企业、校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学工部</w:t>
      </w:r>
      <w:r>
        <w:rPr>
          <w:rFonts w:hint="eastAsia" w:ascii="宋体" w:hAnsi="宋体"/>
          <w:b/>
          <w:bCs/>
          <w:sz w:val="28"/>
          <w:szCs w:val="28"/>
        </w:rPr>
        <w:t>组成。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60B961F4">
      <w:pPr>
        <w:adjustRightInd w:val="0"/>
        <w:snapToGrid w:val="0"/>
        <w:spacing w:line="360" w:lineRule="auto"/>
        <w:ind w:firstLine="48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五、本办法自</w:t>
      </w:r>
      <w:r>
        <w:rPr>
          <w:rFonts w:ascii="宋体" w:hAnsi="宋体"/>
          <w:b/>
          <w:bCs/>
          <w:sz w:val="28"/>
          <w:szCs w:val="28"/>
        </w:rPr>
        <w:t>2002</w:t>
      </w:r>
      <w:r>
        <w:rPr>
          <w:rFonts w:hint="eastAsia" w:ascii="宋体" w:hAnsi="宋体"/>
          <w:b/>
          <w:bCs/>
          <w:sz w:val="28"/>
          <w:szCs w:val="28"/>
        </w:rPr>
        <w:t>年起执行，由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学工部</w:t>
      </w:r>
      <w:r>
        <w:rPr>
          <w:rFonts w:hint="eastAsia" w:ascii="宋体" w:hAnsi="宋体"/>
          <w:b/>
          <w:bCs/>
          <w:sz w:val="28"/>
          <w:szCs w:val="28"/>
        </w:rPr>
        <w:t>负责解释。</w:t>
      </w:r>
    </w:p>
    <w:p w14:paraId="630D7CEA">
      <w:pPr>
        <w:snapToGrid w:val="0"/>
        <w:spacing w:line="34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浙江工商大学“金家麟奖学金”评审管理办法</w:t>
      </w:r>
    </w:p>
    <w:p w14:paraId="12D4C382">
      <w:pPr>
        <w:snapToGrid w:val="0"/>
        <w:spacing w:line="340" w:lineRule="exact"/>
      </w:pPr>
      <w:r>
        <w:t> </w:t>
      </w:r>
    </w:p>
    <w:p w14:paraId="742BB33D">
      <w:pPr>
        <w:adjustRightInd w:val="0"/>
        <w:snapToGrid w:val="0"/>
        <w:spacing w:line="360" w:lineRule="auto"/>
        <w:ind w:firstLine="482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为推进教育事业的发展，奖励具有远大理想、勤奋好学、为人正直、富有开拓创新精神的在校学生，促进优秀人才的成长，实现“金家麟奖学基金”设立之目的，根据《浙江工商大学金家麟奖学基金章程》的规定和《浙江工商大学奖学金实施办法》，特制定本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办</w:t>
      </w:r>
      <w:r>
        <w:rPr>
          <w:rFonts w:hint="eastAsia" w:ascii="Times New Roman" w:hAnsi="Times New Roman" w:eastAsia="宋体" w:cs="Times New Roman"/>
          <w:sz w:val="24"/>
          <w:szCs w:val="24"/>
        </w:rPr>
        <w:t>法。</w:t>
      </w:r>
    </w:p>
    <w:p w14:paraId="4D30E990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一、“金家麟奖学金”的评选范围、奖项及金额</w:t>
      </w:r>
    </w:p>
    <w:p w14:paraId="61CCDAB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．“金家麟奖学金”面向全校全日制本科在校生以及全日制研究生设立。</w:t>
      </w:r>
    </w:p>
    <w:p w14:paraId="1B0A4910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．“金家麟奖学金”今年奖学金总额为15万元，在全日制本科生中设一等奖9名，奖金各</w:t>
      </w:r>
      <w:r>
        <w:rPr>
          <w:rFonts w:ascii="宋体" w:hAnsi="宋体"/>
          <w:sz w:val="24"/>
          <w:szCs w:val="24"/>
        </w:rPr>
        <w:t>5000</w:t>
      </w:r>
      <w:r>
        <w:rPr>
          <w:rFonts w:hint="eastAsia" w:ascii="宋体" w:hAnsi="宋体"/>
          <w:sz w:val="24"/>
          <w:szCs w:val="24"/>
        </w:rPr>
        <w:t>元；二等奖24名，奖金各30</w:t>
      </w:r>
      <w:r>
        <w:rPr>
          <w:rFonts w:ascii="宋体" w:hAnsi="宋体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元；优秀研究生一等奖3名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奖金各</w:t>
      </w:r>
      <w:r>
        <w:rPr>
          <w:rFonts w:ascii="宋体" w:hAnsi="宋体"/>
          <w:sz w:val="24"/>
          <w:szCs w:val="24"/>
        </w:rPr>
        <w:t>5000</w:t>
      </w:r>
      <w:r>
        <w:rPr>
          <w:rFonts w:hint="eastAsia" w:ascii="宋体" w:hAnsi="宋体"/>
          <w:sz w:val="24"/>
          <w:szCs w:val="24"/>
        </w:rPr>
        <w:t>元，二等奖6名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奖金各30</w:t>
      </w:r>
      <w:r>
        <w:rPr>
          <w:rFonts w:ascii="宋体" w:hAnsi="宋体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元。</w:t>
      </w:r>
    </w:p>
    <w:p w14:paraId="23C66241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二、评选条件</w:t>
      </w:r>
    </w:p>
    <w:p w14:paraId="2B8335AD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金家麟奖学金申请人除须具备良好的政治思想素质等基本条件外，还应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同时具备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以下条件要求：</w:t>
      </w:r>
    </w:p>
    <w:p w14:paraId="7758794A">
      <w:pPr>
        <w:widowControl/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全日制本科生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须具备条件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</w:p>
    <w:p w14:paraId="15B13F80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．评奖年度素质评价基本项名次列班级或专业前30%；</w:t>
      </w:r>
    </w:p>
    <w:p w14:paraId="38B89374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．在以下七项能力即①科研能力；②创新实践能力；③组织领导能力；④社会活动能力；⑤写作能力；⑥外语能力；⑦文体活动能力的其中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两个或两个以上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方面在全校表现较为突出者；</w:t>
      </w:r>
    </w:p>
    <w:p w14:paraId="78550479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．品行优秀，为人正直，团结同学，热心为群众服务。</w:t>
      </w:r>
    </w:p>
    <w:p w14:paraId="44C2CDFA">
      <w:pPr>
        <w:widowControl/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  <w:t>全日制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研究生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须具备条件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</w:p>
    <w:p w14:paraId="562BD810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品行优秀，有较强的科研能力和创新精神，作为课题成员参加科研项目，在国内二级以上学术刊物上发表有一定水准的论文一篇以上；或取得具有一定经济效益、社会效益的应用研究成果。</w:t>
      </w:r>
    </w:p>
    <w:p w14:paraId="2CBE35CC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三、评审办法</w:t>
      </w:r>
    </w:p>
    <w:p w14:paraId="005924D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学生自愿申报（需附有关证明材料），所在学院（部门）推荐，在学校下达的名额内由金家麟奖学基金管理评审小组评审。</w:t>
      </w:r>
    </w:p>
    <w:p w14:paraId="5A0ECEF6">
      <w:pPr>
        <w:adjustRightInd w:val="0"/>
        <w:snapToGrid w:val="0"/>
        <w:spacing w:line="360" w:lineRule="auto"/>
        <w:ind w:firstLine="482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四、“金家麟”奖学基金管理评审小组根据《浙江工商大学金家麟奖学基金章程》设立，由学校批准。</w:t>
      </w:r>
    </w:p>
    <w:p w14:paraId="6FBC5C4D">
      <w:pPr>
        <w:adjustRightInd w:val="0"/>
        <w:snapToGrid w:val="0"/>
        <w:spacing w:line="360" w:lineRule="auto"/>
        <w:ind w:firstLine="482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五、本办法自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12年起执行，由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学工部</w:t>
      </w:r>
      <w:r>
        <w:rPr>
          <w:rFonts w:hint="eastAsia" w:ascii="宋体" w:hAnsi="宋体"/>
          <w:b/>
          <w:bCs/>
          <w:sz w:val="24"/>
          <w:szCs w:val="24"/>
        </w:rPr>
        <w:t>负责解释。</w:t>
      </w:r>
    </w:p>
    <w:p w14:paraId="04EB3F34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</w:p>
    <w:p w14:paraId="74808873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</w:p>
    <w:p w14:paraId="3FC3B1DF">
      <w:pPr>
        <w:snapToGrid w:val="0"/>
        <w:spacing w:line="440" w:lineRule="exact"/>
        <w:ind w:firstLine="1285" w:firstLineChars="4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浙江工商大学“宗树义奖学金”评审管理办法</w:t>
      </w:r>
    </w:p>
    <w:p w14:paraId="0927EDD9">
      <w:pPr>
        <w:snapToGrid w:val="0"/>
        <w:spacing w:line="340" w:lineRule="exact"/>
      </w:pPr>
      <w:r>
        <w:t> </w:t>
      </w:r>
    </w:p>
    <w:p w14:paraId="6BB1BC3A"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推进教育事业的发展，奖励具有远大理想、勤奋好学、为人正直、热心为同学服务、工作出色的学生干部，促进优秀人才的成长，实现“宗树义奖学基金”设立之目的，根据《浙江工商大学宗树义奖学基金章程》的规定和《浙江工商大学专项奖学金评审管理办法》，特制定本办法。</w:t>
      </w:r>
    </w:p>
    <w:p w14:paraId="09572089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一、“宗树义奖学金”的评选范围、奖额和设立期限</w:t>
      </w:r>
    </w:p>
    <w:p w14:paraId="0AA6B328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．“宗树义奖学金”面向全校全日制普通本科在校生中的</w:t>
      </w:r>
      <w:r>
        <w:rPr>
          <w:rFonts w:hint="eastAsia"/>
          <w:b/>
          <w:bCs/>
          <w:sz w:val="28"/>
          <w:szCs w:val="28"/>
          <w:u w:val="single"/>
        </w:rPr>
        <w:t>学生干部</w:t>
      </w:r>
      <w:r>
        <w:rPr>
          <w:rFonts w:hint="eastAsia"/>
          <w:sz w:val="28"/>
          <w:szCs w:val="28"/>
        </w:rPr>
        <w:t>设立。</w:t>
      </w:r>
    </w:p>
    <w:p w14:paraId="6B0B3491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．“宗树义奖学金”每年评选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5名，每名获奖学金人民币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元。</w:t>
      </w:r>
    </w:p>
    <w:p w14:paraId="7B088B9C"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．“宗树义奖学金”永久设立。</w:t>
      </w:r>
    </w:p>
    <w:p w14:paraId="375A4DC7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二、评选办法</w:t>
      </w:r>
    </w:p>
    <w:p w14:paraId="13AE8087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．热爱祖国，遵守国家的法律、法规及学校规章制度，尊敬师长，关心集体。</w:t>
      </w:r>
    </w:p>
    <w:p w14:paraId="10EE1A0D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b/>
          <w:bCs/>
          <w:color w:val="FF0000"/>
          <w:sz w:val="28"/>
          <w:szCs w:val="28"/>
          <w:u w:val="none"/>
        </w:rPr>
        <w:t>担任学生干部满</w:t>
      </w:r>
      <w:r>
        <w:rPr>
          <w:b/>
          <w:bCs/>
          <w:color w:val="FF0000"/>
          <w:sz w:val="28"/>
          <w:szCs w:val="28"/>
          <w:u w:val="none"/>
        </w:rPr>
        <w:t>1</w:t>
      </w:r>
      <w:r>
        <w:rPr>
          <w:rFonts w:hint="eastAsia"/>
          <w:b/>
          <w:bCs/>
          <w:color w:val="FF0000"/>
          <w:sz w:val="28"/>
          <w:szCs w:val="28"/>
          <w:u w:val="none"/>
        </w:rPr>
        <w:t>年以上</w:t>
      </w:r>
      <w:r>
        <w:rPr>
          <w:rFonts w:hint="eastAsia"/>
          <w:sz w:val="28"/>
          <w:szCs w:val="28"/>
        </w:rPr>
        <w:t>，勤奋好学，为人正直，热心为同学服务，工作出色，</w:t>
      </w:r>
      <w:r>
        <w:rPr>
          <w:rFonts w:hint="eastAsia"/>
          <w:b/>
          <w:bCs/>
          <w:color w:val="FF0000"/>
          <w:sz w:val="28"/>
          <w:szCs w:val="28"/>
          <w:u w:val="none"/>
        </w:rPr>
        <w:t>评选年度内被评为校优秀学生干部</w:t>
      </w:r>
      <w:r>
        <w:rPr>
          <w:rFonts w:hint="eastAsia"/>
          <w:sz w:val="28"/>
          <w:szCs w:val="28"/>
        </w:rPr>
        <w:t>。</w:t>
      </w:r>
    </w:p>
    <w:p w14:paraId="61342D6E"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．积极组织和参与班级学风建设评估活动，所在班级在评选年度内被评为</w:t>
      </w:r>
      <w:r>
        <w:rPr>
          <w:rFonts w:hint="eastAsia"/>
          <w:b/>
          <w:bCs/>
          <w:color w:val="FF0000"/>
          <w:sz w:val="28"/>
          <w:szCs w:val="28"/>
        </w:rPr>
        <w:t>优良学风班或积极参与班级学风建设评估活动</w:t>
      </w:r>
      <w:r>
        <w:rPr>
          <w:rFonts w:hint="eastAsia"/>
          <w:sz w:val="28"/>
          <w:szCs w:val="28"/>
        </w:rPr>
        <w:t>，带头参加考研的。</w:t>
      </w:r>
    </w:p>
    <w:p w14:paraId="1F0436A3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三、评审办法</w:t>
      </w:r>
    </w:p>
    <w:p w14:paraId="4D7B1430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．学生自愿申报，所在学院推荐，在学校下达的名额内由宗树义奖学基金管理评审小组评审。</w:t>
      </w:r>
    </w:p>
    <w:p w14:paraId="65A2D3D2"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．评审工作每年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月份进行。</w:t>
      </w:r>
    </w:p>
    <w:p w14:paraId="39C14D77">
      <w:pPr>
        <w:adjustRightInd w:val="0"/>
        <w:snapToGrid w:val="0"/>
        <w:spacing w:line="360" w:lineRule="auto"/>
        <w:ind w:firstLine="562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四、“宗树义奖学金”管理评审小组根据《杭州商学院宗树义奖学基金章程》设立，由学校批准。</w:t>
      </w:r>
    </w:p>
    <w:p w14:paraId="37822C07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五、本办法自</w:t>
      </w:r>
      <w:r>
        <w:rPr>
          <w:rFonts w:ascii="宋体" w:hAnsi="宋体"/>
          <w:b/>
          <w:bCs/>
          <w:sz w:val="28"/>
          <w:szCs w:val="28"/>
        </w:rPr>
        <w:t>2002</w:t>
      </w:r>
      <w:r>
        <w:rPr>
          <w:rFonts w:hint="eastAsia" w:ascii="宋体" w:hAnsi="宋体"/>
          <w:b/>
          <w:bCs/>
          <w:sz w:val="28"/>
          <w:szCs w:val="28"/>
        </w:rPr>
        <w:t>年起执行，由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学工部</w:t>
      </w:r>
      <w:r>
        <w:rPr>
          <w:rFonts w:hint="eastAsia" w:ascii="宋体" w:hAnsi="宋体"/>
          <w:b/>
          <w:bCs/>
          <w:sz w:val="28"/>
          <w:szCs w:val="28"/>
        </w:rPr>
        <w:t>负责解释。</w:t>
      </w:r>
    </w:p>
    <w:p w14:paraId="0A2E1109">
      <w:pPr>
        <w:rPr>
          <w:rFonts w:hint="eastAsia"/>
        </w:rPr>
      </w:pPr>
    </w:p>
    <w:p w14:paraId="3815C390">
      <w:pPr>
        <w:rPr>
          <w:rFonts w:hint="eastAsia"/>
        </w:rPr>
      </w:pPr>
    </w:p>
    <w:p w14:paraId="780A4880">
      <w:pPr>
        <w:rPr>
          <w:rFonts w:hint="eastAsia"/>
        </w:rPr>
      </w:pPr>
    </w:p>
    <w:p w14:paraId="5344F370">
      <w:pPr>
        <w:widowControl/>
        <w:snapToGrid w:val="0"/>
        <w:spacing w:line="440" w:lineRule="exact"/>
        <w:jc w:val="both"/>
        <w:rPr>
          <w:rFonts w:hint="eastAsia" w:eastAsia="黑体"/>
          <w:b/>
          <w:sz w:val="32"/>
        </w:rPr>
      </w:pPr>
    </w:p>
    <w:p w14:paraId="0D64B224">
      <w:pPr>
        <w:widowControl/>
        <w:snapToGrid w:val="0"/>
        <w:spacing w:line="440" w:lineRule="exact"/>
        <w:jc w:val="both"/>
        <w:rPr>
          <w:rFonts w:hint="eastAsia" w:eastAsia="黑体"/>
          <w:b/>
          <w:sz w:val="32"/>
        </w:rPr>
      </w:pPr>
    </w:p>
    <w:p w14:paraId="2001BE4C">
      <w:pPr>
        <w:widowControl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浙江工商大学“海平奖学金”实施办法</w:t>
      </w:r>
    </w:p>
    <w:p w14:paraId="5A59A5CA">
      <w:pPr>
        <w:adjustRightInd w:val="0"/>
        <w:snapToGrid w:val="0"/>
        <w:spacing w:line="360" w:lineRule="auto"/>
        <w:rPr>
          <w:rFonts w:hint="eastAsia"/>
        </w:rPr>
      </w:pPr>
    </w:p>
    <w:p w14:paraId="53A45C4D">
      <w:pPr>
        <w:widowControl/>
        <w:adjustRightInd w:val="0"/>
        <w:snapToGrid w:val="0"/>
        <w:spacing w:line="360" w:lineRule="auto"/>
        <w:ind w:firstLine="562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第一条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 为实现校友俞海平先生回报母校、奖励和资助勤奋学习、品学兼优、家庭经济困难的</w:t>
      </w:r>
      <w:r>
        <w:rPr>
          <w:rFonts w:hint="eastAsia" w:ascii="宋体" w:hAnsi="宋体" w:cs="宋体"/>
          <w:color w:val="333333"/>
          <w:spacing w:val="-4"/>
          <w:kern w:val="0"/>
          <w:sz w:val="28"/>
          <w:szCs w:val="28"/>
        </w:rPr>
        <w:t>在校本科生、研究生之目的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，根据《浙江工商大学海平奖学基金章程》（浙商大学〔2011〕105号）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《浙江工商大学专项奖学金评审管理办法》(浙商大学〔2009〕207号)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、《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关于增设“海平关爱助学金”的谅解备忘协议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制订本办法。</w:t>
      </w:r>
    </w:p>
    <w:p w14:paraId="0B7874E8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第二条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“海平奖学金”的日常管理由浙江工商大学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学工部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负责，“海平奖学金”的最终评审由奖学金评审管理小组负责。</w:t>
      </w:r>
    </w:p>
    <w:p w14:paraId="20274FF0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学校依据《浙江工商大学海平奖学基金章程》设立奖学金评审管理小组，由校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学工部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研工部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教务处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校友办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和杭州余杭石油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化工集团公司（俞海平校友）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代表组成。</w:t>
      </w:r>
    </w:p>
    <w:p w14:paraId="4C88DDE3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none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第三条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 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none"/>
        </w:rPr>
        <w:t>“海平奖学金”奖励对象为我校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none"/>
          <w:lang w:val="en-US" w:eastAsia="zh-CN"/>
        </w:rPr>
        <w:t>所有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none"/>
        </w:rPr>
        <w:t>全日制在校本科生和研究生。</w:t>
      </w:r>
    </w:p>
    <w:p w14:paraId="218CE5A3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第四条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 “海平奖学金”设立一等奖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名、二等奖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名，奖金为一等奖每人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000元、二等奖每人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2500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元。</w:t>
      </w:r>
    </w:p>
    <w:p w14:paraId="71F2B61A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奖学金评审管理小组可根据杭州余杭石油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化工集团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公司提供的奖学资金数额，经双方协商后调整奖励名额。</w:t>
      </w:r>
    </w:p>
    <w:p w14:paraId="31E0408F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第五条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 “海平奖学金”申请人除须具备良好的政治思想素质等基本条件外，还应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  <w:t>同时具备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以下条件要求：</w:t>
      </w:r>
    </w:p>
    <w:p w14:paraId="64FEE7C0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1．本科生在评奖年度素质评价基本项名次应列班级（年级/专业）前50％、综合能力项名次列班级（年级/专业）前50％；</w:t>
      </w:r>
    </w:p>
    <w:p w14:paraId="2F2C34AB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2．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  <w:t>本科生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应为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val="en-US" w:eastAsia="zh-CN"/>
        </w:rPr>
        <w:t>经学校认定的学生资助对象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；</w:t>
      </w:r>
    </w:p>
    <w:p w14:paraId="1B09162F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3．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  <w:t>研究生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应为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  <w:t>经学校认定的家庭经济困难学生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，且品学兼优；</w:t>
      </w:r>
    </w:p>
    <w:p w14:paraId="4C84F6D5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4．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highlight w:val="none"/>
        </w:rPr>
        <w:t>每年参加公益活动(如参加志愿者活动)不少于一次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57428252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第六条 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“海平奖学金”的申请与评审</w:t>
      </w:r>
    </w:p>
    <w:p w14:paraId="6E34A4ED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1．由本人提出申请，经所在学院审核推荐为奖学金候选人；</w:t>
      </w:r>
    </w:p>
    <w:p w14:paraId="0007FF3F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2．校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学工部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复核和初审，确定提交奖学金评审管理小组会议评审的学生名单；</w:t>
      </w:r>
    </w:p>
    <w:p w14:paraId="6095A738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3．奖学金评审管理小组评审决定。</w:t>
      </w:r>
    </w:p>
    <w:p w14:paraId="5754F3D5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第七条 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“海平奖学金”自2011年5月起实行，每年评选一次，评选时间与学校奖学金评选时间同步。</w:t>
      </w:r>
    </w:p>
    <w:p w14:paraId="5CBFD57B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“海平奖学金”每年获奖人名单及其基本情况抄送杭州余杭石油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化工集团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公司，并由杭州余杭石油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化工集团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公司派代表向获奖者颁发奖金和“海平奖学金荣誉证书”。</w:t>
      </w:r>
    </w:p>
    <w:p w14:paraId="1F785FF6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第八条</w:t>
      </w:r>
      <w:r>
        <w:rPr>
          <w:rFonts w:hint="eastAsia" w:ascii="宋体" w:hAnsi="宋体" w:cs="宋体"/>
          <w:color w:val="333333"/>
          <w:spacing w:val="-4"/>
          <w:kern w:val="0"/>
          <w:sz w:val="28"/>
          <w:szCs w:val="28"/>
        </w:rPr>
        <w:t> 获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奖励和资助的学生完成学业就业后，应积极奉献爱心，回报社会</w:t>
      </w:r>
      <w:r>
        <w:rPr>
          <w:rFonts w:hint="eastAsia" w:ascii="宋体" w:hAnsi="宋体" w:cs="宋体"/>
          <w:color w:val="333333"/>
          <w:spacing w:val="-4"/>
          <w:kern w:val="0"/>
          <w:sz w:val="28"/>
          <w:szCs w:val="28"/>
        </w:rPr>
        <w:t>。</w:t>
      </w:r>
    </w:p>
    <w:p w14:paraId="15001062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第九条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 本办法由浙江工商大学和杭州余杭石油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化工集团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公司共同审定，自学校发文之日起生效。</w:t>
      </w:r>
    </w:p>
    <w:p w14:paraId="1750EE03">
      <w:pPr>
        <w:widowControl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第十条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 本办法由浙江工商大学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学生工作部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负责解释。</w:t>
      </w:r>
    </w:p>
    <w:p w14:paraId="4B4957B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0B35C5C4">
      <w:pPr>
        <w:adjustRightInd w:val="0"/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79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BE8C9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  <w:lang/>
      </w:rPr>
      <w:t>9</w:t>
    </w:r>
    <w:r>
      <w:fldChar w:fldCharType="end"/>
    </w:r>
  </w:p>
  <w:p w14:paraId="0E85F75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CFC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4D1DB1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YjFjYjUzOWRjZDkwY2IwNGFlMDUxZmE3N2I2ZjAifQ=="/>
  </w:docVars>
  <w:rsids>
    <w:rsidRoot w:val="00BF184C"/>
    <w:rsid w:val="000B4709"/>
    <w:rsid w:val="001545B7"/>
    <w:rsid w:val="0015465D"/>
    <w:rsid w:val="001A2F04"/>
    <w:rsid w:val="00210409"/>
    <w:rsid w:val="0021424D"/>
    <w:rsid w:val="00222338"/>
    <w:rsid w:val="00304212"/>
    <w:rsid w:val="00304EE2"/>
    <w:rsid w:val="003D37A8"/>
    <w:rsid w:val="005F122A"/>
    <w:rsid w:val="00670837"/>
    <w:rsid w:val="00771C1B"/>
    <w:rsid w:val="007F2126"/>
    <w:rsid w:val="0091075E"/>
    <w:rsid w:val="00A31D13"/>
    <w:rsid w:val="00A32CD6"/>
    <w:rsid w:val="00A964A3"/>
    <w:rsid w:val="00AB3295"/>
    <w:rsid w:val="00AD61A2"/>
    <w:rsid w:val="00B4488F"/>
    <w:rsid w:val="00B50DAB"/>
    <w:rsid w:val="00B51FDB"/>
    <w:rsid w:val="00BA4827"/>
    <w:rsid w:val="00BF184C"/>
    <w:rsid w:val="00C25208"/>
    <w:rsid w:val="00C300E6"/>
    <w:rsid w:val="00C61F0A"/>
    <w:rsid w:val="00C953C0"/>
    <w:rsid w:val="00CE3F56"/>
    <w:rsid w:val="00D10BEE"/>
    <w:rsid w:val="00DA57CA"/>
    <w:rsid w:val="00E02783"/>
    <w:rsid w:val="00F65894"/>
    <w:rsid w:val="00FC1D64"/>
    <w:rsid w:val="0B951506"/>
    <w:rsid w:val="0DD43F8E"/>
    <w:rsid w:val="18710F75"/>
    <w:rsid w:val="1CF47EBB"/>
    <w:rsid w:val="201B2BC5"/>
    <w:rsid w:val="26F612EA"/>
    <w:rsid w:val="2EDD089F"/>
    <w:rsid w:val="2F275103"/>
    <w:rsid w:val="345E5C69"/>
    <w:rsid w:val="386E4911"/>
    <w:rsid w:val="39F66D70"/>
    <w:rsid w:val="3EA859F5"/>
    <w:rsid w:val="41AD1D25"/>
    <w:rsid w:val="4DF00E95"/>
    <w:rsid w:val="4EA3235B"/>
    <w:rsid w:val="4EF94AA0"/>
    <w:rsid w:val="53837051"/>
    <w:rsid w:val="573937B5"/>
    <w:rsid w:val="5DBD41A1"/>
    <w:rsid w:val="604A4468"/>
    <w:rsid w:val="6DE77AC8"/>
    <w:rsid w:val="7608691F"/>
    <w:rsid w:val="76381527"/>
    <w:rsid w:val="77604B0C"/>
    <w:rsid w:val="77C64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80" w:lineRule="atLeast"/>
    </w:pPr>
    <w:rPr>
      <w:rFonts w:eastAsia="仿宋_GB2312"/>
      <w:sz w:val="32"/>
    </w:rPr>
  </w:style>
  <w:style w:type="paragraph" w:styleId="3">
    <w:name w:val="Body Text Indent"/>
    <w:basedOn w:val="1"/>
    <w:uiPriority w:val="0"/>
    <w:pPr>
      <w:spacing w:line="360" w:lineRule="atLeast"/>
      <w:ind w:firstLine="405" w:firstLineChars="193"/>
    </w:pPr>
  </w:style>
  <w:style w:type="paragraph" w:styleId="4">
    <w:name w:val="Date"/>
    <w:basedOn w:val="1"/>
    <w:next w:val="1"/>
    <w:uiPriority w:val="0"/>
    <w:pPr>
      <w:ind w:leftChars="2500"/>
    </w:pPr>
    <w:rPr>
      <w:rFonts w:eastAsia="仿宋_GB2312"/>
      <w:sz w:val="32"/>
    </w:rPr>
  </w:style>
  <w:style w:type="paragraph" w:styleId="5">
    <w:name w:val="Body Text Indent 2"/>
    <w:basedOn w:val="1"/>
    <w:uiPriority w:val="0"/>
    <w:pPr>
      <w:tabs>
        <w:tab w:val="left" w:pos="6173"/>
      </w:tabs>
      <w:ind w:firstLine="524" w:firstLineChars="187"/>
    </w:pPr>
    <w:rPr>
      <w:sz w:val="28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uiPriority w:val="0"/>
    <w:pPr>
      <w:tabs>
        <w:tab w:val="left" w:pos="6173"/>
      </w:tabs>
      <w:spacing w:line="440" w:lineRule="atLeast"/>
      <w:ind w:firstLine="480" w:firstLineChars="200"/>
    </w:pPr>
    <w:rPr>
      <w:rFonts w:ascii="宋体" w:hAnsi="宋体"/>
      <w:sz w:val="24"/>
    </w:rPr>
  </w:style>
  <w:style w:type="paragraph" w:styleId="10">
    <w:name w:val="Body Text 2"/>
    <w:basedOn w:val="1"/>
    <w:uiPriority w:val="0"/>
    <w:pPr>
      <w:spacing w:line="440" w:lineRule="atLeast"/>
      <w:ind w:right="-119"/>
    </w:pPr>
    <w:rPr>
      <w:rFonts w:ascii="宋体"/>
      <w:sz w:val="24"/>
      <w:szCs w:val="20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4">
    <w:name w:val="page number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5</Pages>
  <Words>2743</Words>
  <Characters>2798</Characters>
  <Lines>49</Lines>
  <Paragraphs>13</Paragraphs>
  <TotalTime>5</TotalTime>
  <ScaleCrop>false</ScaleCrop>
  <LinksUpToDate>false</LinksUpToDate>
  <CharactersWithSpaces>2824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2014-03-06T02:12:00Z</dcterms:created>
  <dc:creator>Legend User</dc:creator>
  <cp:lastModifiedBy>你若盛开</cp:lastModifiedBy>
  <cp:lastPrinted>2015-03-30T00:55:00Z</cp:lastPrinted>
  <dcterms:modified xsi:type="dcterms:W3CDTF">2026-04-27T00:24:39Z</dcterms:modified>
  <dc:title>浙江工商大学专项奖学金评审管理办法集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C9BFD93FB360405AA41F1B00596C869E_13</vt:lpwstr>
  </property>
  <property fmtid="{D5CDD505-2E9C-101B-9397-08002B2CF9AE}" pid="4" name="KSOTemplateDocerSaveRecord">
    <vt:lpwstr>eyJoZGlkIjoiNmUzNjVkZWVkNTA5YjgwNWRiMDkxMGIxNjk0ZmE3ZjUiLCJ1c2VySWQiOiIxNjEwMjY0NTAxIn0=</vt:lpwstr>
  </property>
</Properties>
</file>